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CF0" w:rsidRDefault="00330F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MA-212</w:t>
      </w:r>
      <w:r w:rsidR="00722D8D">
        <w:rPr>
          <w:rFonts w:ascii="Times New Roman" w:hAnsi="Times New Roman" w:cs="Times New Roman"/>
          <w:sz w:val="24"/>
          <w:szCs w:val="24"/>
        </w:rPr>
        <w:t xml:space="preserve"> Medical Assisting Lab IV</w:t>
      </w:r>
    </w:p>
    <w:p w:rsidR="00722D8D" w:rsidRDefault="00330F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1</w:t>
      </w:r>
    </w:p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types of drapes used in the medical office and what are their specific use?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process of Autoclaving instruments. Length of time, temperature etc.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must instruments be cleaned while being submerged in water/solution?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 physicians use local anesthetics that contain epinephrine, what effect does the patient feel and when is it NOT appropriate to use lidocaine with epi?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conditions are necessary for absorbable sutures to be effective?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Why is it important to expect all surgical instrumentation and when is it inspected?</w:t>
      </w:r>
    </w:p>
    <w:p w:rsidR="00722D8D" w:rsidRPr="00722D8D" w:rsidRDefault="00722D8D" w:rsidP="00722D8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P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are suture material sized and what suture would be used for a facial laceration and which one for a knee scope closure?</w:t>
      </w:r>
    </w:p>
    <w:sectPr w:rsidR="00722D8D" w:rsidRPr="00722D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E379E2"/>
    <w:multiLevelType w:val="hybridMultilevel"/>
    <w:tmpl w:val="5C7A2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8D"/>
    <w:rsid w:val="00330FEF"/>
    <w:rsid w:val="00722D8D"/>
    <w:rsid w:val="00E6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1F2882-E021-4846-A557-44BD5516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2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92544C8C</Template>
  <TotalTime>0</TotalTime>
  <Pages>2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M. Curtis</cp:lastModifiedBy>
  <cp:revision>2</cp:revision>
  <dcterms:created xsi:type="dcterms:W3CDTF">2020-07-09T16:09:00Z</dcterms:created>
  <dcterms:modified xsi:type="dcterms:W3CDTF">2020-07-09T16:09:00Z</dcterms:modified>
</cp:coreProperties>
</file>